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9A58" w14:textId="77777777" w:rsidR="00FE067E" w:rsidRPr="0005383D" w:rsidRDefault="00CD36CF" w:rsidP="00CC1F3B">
      <w:pPr>
        <w:pStyle w:val="TitlePageOrigin"/>
        <w:rPr>
          <w:color w:val="auto"/>
        </w:rPr>
      </w:pPr>
      <w:r w:rsidRPr="0005383D">
        <w:rPr>
          <w:color w:val="auto"/>
        </w:rPr>
        <w:t>WEST virginia legislature</w:t>
      </w:r>
    </w:p>
    <w:p w14:paraId="537E27CA" w14:textId="141666B6" w:rsidR="00CD36CF" w:rsidRPr="0005383D" w:rsidRDefault="00CD36CF" w:rsidP="00CC1F3B">
      <w:pPr>
        <w:pStyle w:val="TitlePageSession"/>
        <w:rPr>
          <w:color w:val="auto"/>
        </w:rPr>
      </w:pPr>
      <w:r w:rsidRPr="0005383D">
        <w:rPr>
          <w:color w:val="auto"/>
        </w:rPr>
        <w:t>20</w:t>
      </w:r>
      <w:r w:rsidR="00CB1ADC" w:rsidRPr="0005383D">
        <w:rPr>
          <w:color w:val="auto"/>
        </w:rPr>
        <w:t>2</w:t>
      </w:r>
      <w:r w:rsidR="009D081B" w:rsidRPr="0005383D">
        <w:rPr>
          <w:color w:val="auto"/>
        </w:rPr>
        <w:t>1</w:t>
      </w:r>
      <w:r w:rsidRPr="0005383D">
        <w:rPr>
          <w:color w:val="auto"/>
        </w:rPr>
        <w:t xml:space="preserve"> regular session</w:t>
      </w:r>
    </w:p>
    <w:p w14:paraId="29C95A1C" w14:textId="77777777" w:rsidR="00CD36CF" w:rsidRPr="0005383D" w:rsidRDefault="009C040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5383D">
            <w:rPr>
              <w:color w:val="auto"/>
            </w:rPr>
            <w:t>Introduced</w:t>
          </w:r>
        </w:sdtContent>
      </w:sdt>
    </w:p>
    <w:p w14:paraId="2C92A2F7" w14:textId="42249FBA" w:rsidR="00CD36CF" w:rsidRPr="0005383D" w:rsidRDefault="009C04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5383D">
            <w:rPr>
              <w:color w:val="auto"/>
            </w:rPr>
            <w:t>House</w:t>
          </w:r>
        </w:sdtContent>
      </w:sdt>
      <w:r w:rsidR="00303684" w:rsidRPr="0005383D">
        <w:rPr>
          <w:color w:val="auto"/>
        </w:rPr>
        <w:t xml:space="preserve"> </w:t>
      </w:r>
      <w:r w:rsidR="00CD36CF" w:rsidRPr="0005383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2110</w:t>
          </w:r>
        </w:sdtContent>
      </w:sdt>
    </w:p>
    <w:p w14:paraId="10829974" w14:textId="6F7642D6" w:rsidR="00CD36CF" w:rsidRPr="0005383D" w:rsidRDefault="00CD36CF" w:rsidP="00CC1F3B">
      <w:pPr>
        <w:pStyle w:val="Sponsors"/>
        <w:rPr>
          <w:color w:val="auto"/>
        </w:rPr>
      </w:pPr>
      <w:r w:rsidRPr="000538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97602" w:rsidRPr="0005383D">
            <w:rPr>
              <w:color w:val="auto"/>
            </w:rPr>
            <w:t>Delegate Boggs</w:t>
          </w:r>
        </w:sdtContent>
      </w:sdt>
    </w:p>
    <w:p w14:paraId="7D45A1B2" w14:textId="1EE8E9A7" w:rsidR="00E831B3" w:rsidRPr="0005383D" w:rsidRDefault="00CD36CF" w:rsidP="00CC1F3B">
      <w:pPr>
        <w:pStyle w:val="References"/>
        <w:rPr>
          <w:color w:val="auto"/>
        </w:rPr>
      </w:pPr>
      <w:r w:rsidRPr="0005383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C040D">
            <w:rPr>
              <w:color w:val="auto"/>
            </w:rPr>
            <w:t>Introduced February 10, 2021; Referred to the Committee on Education then Finance</w:t>
          </w:r>
        </w:sdtContent>
      </w:sdt>
      <w:r w:rsidRPr="0005383D">
        <w:rPr>
          <w:color w:val="auto"/>
        </w:rPr>
        <w:t>]</w:t>
      </w:r>
    </w:p>
    <w:p w14:paraId="73593075" w14:textId="0C94E5BD" w:rsidR="00303684" w:rsidRPr="0005383D" w:rsidRDefault="0000526A" w:rsidP="00F97602">
      <w:pPr>
        <w:pStyle w:val="TitleSection"/>
        <w:rPr>
          <w:color w:val="auto"/>
        </w:rPr>
      </w:pPr>
      <w:r w:rsidRPr="0005383D">
        <w:rPr>
          <w:color w:val="auto"/>
        </w:rPr>
        <w:lastRenderedPageBreak/>
        <w:t>A BILL</w:t>
      </w:r>
      <w:r w:rsidR="00752C47" w:rsidRPr="0005383D">
        <w:rPr>
          <w:color w:val="auto"/>
        </w:rPr>
        <w:t xml:space="preserve"> to amend and reenact §18B-10-7a of the Code of West Virginia, 1931, as amended, relating to senior citizens attending college classes at state institutions without receiving college credit; reducing the fee </w:t>
      </w:r>
      <w:r w:rsidR="0018713F" w:rsidRPr="0005383D">
        <w:rPr>
          <w:color w:val="auto"/>
        </w:rPr>
        <w:t xml:space="preserve">for seniors </w:t>
      </w:r>
      <w:r w:rsidR="00752C47" w:rsidRPr="0005383D">
        <w:rPr>
          <w:color w:val="auto"/>
        </w:rPr>
        <w:t>to attend classes without college credit; and changing the age for being deemed a senior citizen.</w:t>
      </w:r>
    </w:p>
    <w:p w14:paraId="3FA4F004" w14:textId="77777777" w:rsidR="00303684" w:rsidRPr="0005383D" w:rsidRDefault="00303684" w:rsidP="00F97602">
      <w:pPr>
        <w:pStyle w:val="EnactingClause"/>
        <w:rPr>
          <w:color w:val="auto"/>
        </w:rPr>
        <w:sectPr w:rsidR="00303684" w:rsidRPr="0005383D" w:rsidSect="00111D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5383D">
        <w:rPr>
          <w:color w:val="auto"/>
        </w:rPr>
        <w:t>Be it enacted by the Legislature of West Virginia:</w:t>
      </w:r>
    </w:p>
    <w:p w14:paraId="763B900A" w14:textId="77777777" w:rsidR="00752C47" w:rsidRPr="0005383D" w:rsidRDefault="00752C47" w:rsidP="001344E4">
      <w:pPr>
        <w:pStyle w:val="ArticleHeading"/>
        <w:rPr>
          <w:color w:val="auto"/>
        </w:rPr>
        <w:sectPr w:rsidR="00752C47" w:rsidRPr="0005383D" w:rsidSect="00111D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5383D">
        <w:rPr>
          <w:color w:val="auto"/>
        </w:rPr>
        <w:t>ARTICLE 10. FEES AND OTHER MONEY COLLECTED AT STATE INSTITUTIONS OF HIGHER EDUCATION.</w:t>
      </w:r>
    </w:p>
    <w:p w14:paraId="3FD09D1F" w14:textId="4DCC6639" w:rsidR="00752C47" w:rsidRPr="0005383D" w:rsidRDefault="00752C47" w:rsidP="004A2741">
      <w:pPr>
        <w:pStyle w:val="SectionHeading"/>
        <w:rPr>
          <w:color w:val="auto"/>
        </w:rPr>
      </w:pPr>
      <w:r w:rsidRPr="0005383D">
        <w:rPr>
          <w:color w:val="auto"/>
        </w:rPr>
        <w:t xml:space="preserve">§18B-10-7a. Tuition and fee waivers or adjustments for residents at least </w:t>
      </w:r>
      <w:r w:rsidR="00E2635F" w:rsidRPr="0005383D">
        <w:rPr>
          <w:color w:val="auto"/>
          <w:u w:val="single"/>
        </w:rPr>
        <w:t>6</w:t>
      </w:r>
      <w:r w:rsidR="008C2E26" w:rsidRPr="0005383D">
        <w:rPr>
          <w:color w:val="auto"/>
          <w:u w:val="single"/>
        </w:rPr>
        <w:t>0</w:t>
      </w:r>
      <w:r w:rsidRPr="0005383D">
        <w:rPr>
          <w:color w:val="auto"/>
        </w:rPr>
        <w:t xml:space="preserve"> years old.</w:t>
      </w:r>
    </w:p>
    <w:p w14:paraId="41287AB0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(a) Each governing board shall promulgate a rule establishing a reduced tuition and fee program for senior citizens. The rule shall include at least the following:</w:t>
      </w:r>
    </w:p>
    <w:p w14:paraId="48F79644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(1) One option for individuals who attend undergraduate and graduate courses without receiving credit and one option for those who attend undergraduate and graduate courses for credit;</w:t>
      </w:r>
    </w:p>
    <w:p w14:paraId="5D4C90DC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(2) A requirement that the following conditions be met under either option of the program:</w:t>
      </w:r>
    </w:p>
    <w:p w14:paraId="5D5E1FD0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(A) The participant is a resident of West Virginia;</w:t>
      </w:r>
    </w:p>
    <w:p w14:paraId="7EF74ADF" w14:textId="63A5672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 xml:space="preserve">(B) The participant is </w:t>
      </w:r>
      <w:r w:rsidRPr="0005383D">
        <w:rPr>
          <w:strike/>
          <w:color w:val="auto"/>
        </w:rPr>
        <w:t>sixty-five</w:t>
      </w:r>
      <w:r w:rsidRPr="0005383D">
        <w:rPr>
          <w:color w:val="auto"/>
        </w:rPr>
        <w:t xml:space="preserve"> </w:t>
      </w:r>
      <w:r w:rsidR="00F97602" w:rsidRPr="0005383D">
        <w:rPr>
          <w:color w:val="auto"/>
          <w:u w:val="single"/>
        </w:rPr>
        <w:t>60</w:t>
      </w:r>
      <w:r w:rsidRPr="0005383D">
        <w:rPr>
          <w:color w:val="auto"/>
        </w:rPr>
        <w:t xml:space="preserve"> years of age or older; and</w:t>
      </w:r>
    </w:p>
    <w:p w14:paraId="700044D2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(C) Classroom space is available;</w:t>
      </w:r>
    </w:p>
    <w:p w14:paraId="555D1736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(3) A method of establishing priority for allowing a participant to attend a class or course;</w:t>
      </w:r>
    </w:p>
    <w:p w14:paraId="6F50543F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(4) A determination of whether to require participants to pay special fees, including laboratory fees, if the fees are required of all other students;</w:t>
      </w:r>
    </w:p>
    <w:p w14:paraId="77BCE8B9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(5) A determination of whether to require participants to pay for parking;</w:t>
      </w:r>
    </w:p>
    <w:p w14:paraId="2538FA85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(6) Requirements for participants in the program under the no credit option:</w:t>
      </w:r>
    </w:p>
    <w:p w14:paraId="15EF76CB" w14:textId="77777777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>(A) A grade or credit may not be given; and</w:t>
      </w:r>
    </w:p>
    <w:p w14:paraId="1EACFF3F" w14:textId="5FCC37DF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 xml:space="preserve">(B) The total tuition and fees charged for each course or class, excluding laboratory and parking fees, may not exceed </w:t>
      </w:r>
      <w:r w:rsidRPr="0005383D">
        <w:rPr>
          <w:strike/>
          <w:color w:val="auto"/>
        </w:rPr>
        <w:t>$50 After July 1, 2004, the governing boards may change the maximum fee</w:t>
      </w:r>
      <w:r w:rsidRPr="0005383D">
        <w:rPr>
          <w:color w:val="auto"/>
        </w:rPr>
        <w:t xml:space="preserve"> </w:t>
      </w:r>
      <w:r w:rsidRPr="0005383D">
        <w:rPr>
          <w:color w:val="auto"/>
          <w:u w:val="single"/>
        </w:rPr>
        <w:t>$25;</w:t>
      </w:r>
      <w:r w:rsidRPr="0005383D">
        <w:rPr>
          <w:color w:val="auto"/>
        </w:rPr>
        <w:t xml:space="preserve"> and</w:t>
      </w:r>
    </w:p>
    <w:p w14:paraId="6DC8E1E2" w14:textId="68B333BC" w:rsidR="00752C47" w:rsidRPr="0005383D" w:rsidRDefault="00752C47" w:rsidP="004A2741">
      <w:pPr>
        <w:pStyle w:val="SectionBody"/>
        <w:rPr>
          <w:color w:val="auto"/>
        </w:rPr>
      </w:pPr>
      <w:r w:rsidRPr="0005383D">
        <w:rPr>
          <w:color w:val="auto"/>
        </w:rPr>
        <w:t xml:space="preserve">(7) A requirement for participants in the program under the for credit option that tuition and fee rates may not exceed </w:t>
      </w:r>
      <w:r w:rsidRPr="0005383D">
        <w:rPr>
          <w:strike/>
          <w:color w:val="auto"/>
        </w:rPr>
        <w:t>fifty</w:t>
      </w:r>
      <w:r w:rsidR="006F50E7" w:rsidRPr="0005383D">
        <w:rPr>
          <w:strike/>
          <w:color w:val="auto"/>
        </w:rPr>
        <w:t xml:space="preserve"> </w:t>
      </w:r>
      <w:r w:rsidRPr="0005383D">
        <w:rPr>
          <w:strike/>
          <w:color w:val="auto"/>
        </w:rPr>
        <w:t>percent</w:t>
      </w:r>
      <w:r w:rsidRPr="0005383D">
        <w:rPr>
          <w:color w:val="auto"/>
        </w:rPr>
        <w:t xml:space="preserve"> </w:t>
      </w:r>
      <w:r w:rsidR="00F97602" w:rsidRPr="0005383D">
        <w:rPr>
          <w:color w:val="auto"/>
          <w:u w:val="single"/>
        </w:rPr>
        <w:t>50</w:t>
      </w:r>
      <w:r w:rsidR="006F50E7" w:rsidRPr="0005383D">
        <w:rPr>
          <w:color w:val="auto"/>
          <w:u w:val="single"/>
        </w:rPr>
        <w:t xml:space="preserve"> percent</w:t>
      </w:r>
      <w:r w:rsidR="00F97602" w:rsidRPr="0005383D">
        <w:rPr>
          <w:color w:val="auto"/>
        </w:rPr>
        <w:t xml:space="preserve"> </w:t>
      </w:r>
      <w:r w:rsidRPr="0005383D">
        <w:rPr>
          <w:color w:val="auto"/>
        </w:rPr>
        <w:t>of the normal rates charged to state residents by the institution.</w:t>
      </w:r>
    </w:p>
    <w:p w14:paraId="4E8E9EAD" w14:textId="15FF1A23" w:rsidR="00752C47" w:rsidRPr="0005383D" w:rsidRDefault="00752C47" w:rsidP="004A2741">
      <w:pPr>
        <w:pStyle w:val="SectionBody"/>
        <w:rPr>
          <w:color w:val="auto"/>
        </w:rPr>
        <w:sectPr w:rsidR="00752C47" w:rsidRPr="0005383D" w:rsidSect="00111DA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05383D">
        <w:rPr>
          <w:color w:val="auto"/>
        </w:rPr>
        <w:t xml:space="preserve">(b) The provisions of this section apply to both classroom-based courses, electronic and </w:t>
      </w:r>
      <w:r w:rsidR="00E2635F" w:rsidRPr="0005383D">
        <w:rPr>
          <w:color w:val="auto"/>
        </w:rPr>
        <w:t>i</w:t>
      </w:r>
      <w:r w:rsidRPr="0005383D">
        <w:rPr>
          <w:color w:val="auto"/>
        </w:rPr>
        <w:t>nternet-based courses, and all other distance education delivery.</w:t>
      </w:r>
    </w:p>
    <w:p w14:paraId="3A1F588B" w14:textId="77777777" w:rsidR="00C33014" w:rsidRPr="0005383D" w:rsidRDefault="00C33014" w:rsidP="00CC1F3B">
      <w:pPr>
        <w:pStyle w:val="Note"/>
        <w:rPr>
          <w:color w:val="auto"/>
        </w:rPr>
      </w:pPr>
    </w:p>
    <w:p w14:paraId="5F949181" w14:textId="30853FE5" w:rsidR="006865E9" w:rsidRPr="0005383D" w:rsidRDefault="00CF1DCA" w:rsidP="00CC1F3B">
      <w:pPr>
        <w:pStyle w:val="Note"/>
        <w:rPr>
          <w:color w:val="auto"/>
        </w:rPr>
      </w:pPr>
      <w:r w:rsidRPr="0005383D">
        <w:rPr>
          <w:color w:val="auto"/>
        </w:rPr>
        <w:t>NOTE: The</w:t>
      </w:r>
      <w:r w:rsidR="006865E9" w:rsidRPr="0005383D">
        <w:rPr>
          <w:color w:val="auto"/>
        </w:rPr>
        <w:t xml:space="preserve"> purpose of this bill is to </w:t>
      </w:r>
      <w:r w:rsidR="00752C47" w:rsidRPr="0005383D">
        <w:rPr>
          <w:color w:val="auto"/>
        </w:rPr>
        <w:t>decrease the costs for senior citizens to audit state college classes; and reduce the age to be deemed a senior citizen from 65 to 60.</w:t>
      </w:r>
    </w:p>
    <w:p w14:paraId="619EE6DD" w14:textId="7DF60489" w:rsidR="006865E9" w:rsidRPr="0005383D" w:rsidRDefault="00AE48A0" w:rsidP="00CC1F3B">
      <w:pPr>
        <w:pStyle w:val="Note"/>
        <w:rPr>
          <w:color w:val="auto"/>
        </w:rPr>
      </w:pPr>
      <w:r w:rsidRPr="0005383D">
        <w:rPr>
          <w:color w:val="auto"/>
        </w:rPr>
        <w:t>Strike-throughs indicate language that would be stricken from a heading or the present law</w:t>
      </w:r>
      <w:r w:rsidR="00E2635F" w:rsidRPr="0005383D">
        <w:rPr>
          <w:color w:val="auto"/>
        </w:rPr>
        <w:t>,</w:t>
      </w:r>
      <w:r w:rsidRPr="0005383D">
        <w:rPr>
          <w:color w:val="auto"/>
        </w:rPr>
        <w:t xml:space="preserve"> and underscoring indicates new language that would be added.</w:t>
      </w:r>
    </w:p>
    <w:sectPr w:rsidR="006865E9" w:rsidRPr="0005383D" w:rsidSect="00111DA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22DE3" w14:textId="77777777" w:rsidR="001536B6" w:rsidRPr="00B844FE" w:rsidRDefault="001536B6" w:rsidP="00B844FE">
      <w:r>
        <w:separator/>
      </w:r>
    </w:p>
  </w:endnote>
  <w:endnote w:type="continuationSeparator" w:id="0">
    <w:p w14:paraId="2076C05F" w14:textId="77777777" w:rsidR="001536B6" w:rsidRPr="00B844FE" w:rsidRDefault="001536B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98A88E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2B339A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6D2F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6FE7" w14:textId="77777777" w:rsidR="001536B6" w:rsidRPr="00B844FE" w:rsidRDefault="001536B6" w:rsidP="00B844FE">
      <w:r>
        <w:separator/>
      </w:r>
    </w:p>
  </w:footnote>
  <w:footnote w:type="continuationSeparator" w:id="0">
    <w:p w14:paraId="5E3826FF" w14:textId="77777777" w:rsidR="001536B6" w:rsidRPr="00B844FE" w:rsidRDefault="001536B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EBAD" w14:textId="77777777" w:rsidR="002A0269" w:rsidRPr="00B844FE" w:rsidRDefault="009C040D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D262D" w14:textId="422D5C4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A8D28F23FE374A02A15AA9C212BB5760"/>
        </w:placeholder>
        <w:text/>
      </w:sdtPr>
      <w:sdtEndPr/>
      <w:sdtContent>
        <w:r w:rsidR="00F97602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9D081B" w:rsidRPr="009D081B">
          <w:rPr>
            <w:color w:val="auto"/>
          </w:rPr>
          <w:t>2021R1348</w:t>
        </w:r>
      </w:sdtContent>
    </w:sdt>
  </w:p>
  <w:p w14:paraId="55FE542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594E1" w14:textId="08767FBF" w:rsidR="002A0269" w:rsidRPr="002A0269" w:rsidRDefault="009C040D" w:rsidP="00CC1F3B">
    <w:pPr>
      <w:pStyle w:val="HeaderStyle"/>
    </w:pPr>
    <w:sdt>
      <w:sdtPr>
        <w:tag w:val="BNumWH"/>
        <w:id w:val="-1890952866"/>
        <w:placeholder>
          <w:docPart w:val="6262BD7BC50A4083B2A2C1CF972DC07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97602">
          <w:t>202</w:t>
        </w:r>
        <w:r w:rsidR="009D081B">
          <w:t>1</w:t>
        </w:r>
        <w:r w:rsidR="00F97602">
          <w:t>R</w:t>
        </w:r>
        <w:r w:rsidR="009D081B">
          <w:t>1348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383D"/>
    <w:rsid w:val="000573A9"/>
    <w:rsid w:val="0008214E"/>
    <w:rsid w:val="00085D22"/>
    <w:rsid w:val="000C5C77"/>
    <w:rsid w:val="000E3912"/>
    <w:rsid w:val="0010070F"/>
    <w:rsid w:val="00111DA3"/>
    <w:rsid w:val="0015112E"/>
    <w:rsid w:val="001536B6"/>
    <w:rsid w:val="001552E7"/>
    <w:rsid w:val="001566B4"/>
    <w:rsid w:val="0018713F"/>
    <w:rsid w:val="001A66B7"/>
    <w:rsid w:val="001C279E"/>
    <w:rsid w:val="001D070E"/>
    <w:rsid w:val="001D459E"/>
    <w:rsid w:val="00242E86"/>
    <w:rsid w:val="0027011C"/>
    <w:rsid w:val="00274200"/>
    <w:rsid w:val="00275740"/>
    <w:rsid w:val="002A0269"/>
    <w:rsid w:val="002B7FCC"/>
    <w:rsid w:val="002E029D"/>
    <w:rsid w:val="00303684"/>
    <w:rsid w:val="003143F5"/>
    <w:rsid w:val="00314854"/>
    <w:rsid w:val="00394191"/>
    <w:rsid w:val="003C51CD"/>
    <w:rsid w:val="004021EA"/>
    <w:rsid w:val="004064F8"/>
    <w:rsid w:val="004368E0"/>
    <w:rsid w:val="004C13DD"/>
    <w:rsid w:val="004E3441"/>
    <w:rsid w:val="00500579"/>
    <w:rsid w:val="005156B2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50E7"/>
    <w:rsid w:val="00752C47"/>
    <w:rsid w:val="007A5259"/>
    <w:rsid w:val="007A7081"/>
    <w:rsid w:val="007F1CF5"/>
    <w:rsid w:val="00834EDE"/>
    <w:rsid w:val="008736AA"/>
    <w:rsid w:val="008C2E26"/>
    <w:rsid w:val="008D275D"/>
    <w:rsid w:val="00977FD6"/>
    <w:rsid w:val="00980327"/>
    <w:rsid w:val="00986478"/>
    <w:rsid w:val="00987FF2"/>
    <w:rsid w:val="009B5557"/>
    <w:rsid w:val="009C040D"/>
    <w:rsid w:val="009D081B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017F"/>
    <w:rsid w:val="00CF1DCA"/>
    <w:rsid w:val="00D01724"/>
    <w:rsid w:val="00D579FC"/>
    <w:rsid w:val="00D81C16"/>
    <w:rsid w:val="00DE526B"/>
    <w:rsid w:val="00DF199D"/>
    <w:rsid w:val="00E01542"/>
    <w:rsid w:val="00E2635F"/>
    <w:rsid w:val="00E365F1"/>
    <w:rsid w:val="00E62F48"/>
    <w:rsid w:val="00E831B3"/>
    <w:rsid w:val="00E86743"/>
    <w:rsid w:val="00E95FBC"/>
    <w:rsid w:val="00EE70CB"/>
    <w:rsid w:val="00EF662D"/>
    <w:rsid w:val="00F41CA2"/>
    <w:rsid w:val="00F443C0"/>
    <w:rsid w:val="00F62EFB"/>
    <w:rsid w:val="00F939A4"/>
    <w:rsid w:val="00F97602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93C5AD4"/>
  <w15:chartTrackingRefBased/>
  <w15:docId w15:val="{386E176A-FF94-48E0-819D-9DD9758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52C4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52C4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52C4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868A8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868A8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868A8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868A8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868A8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8D28F23FE374A02A15AA9C212BB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85C8-9AE9-4B31-B93B-0BF0D4CA2957}"/>
      </w:docPartPr>
      <w:docPartBody>
        <w:p w:rsidR="00770682" w:rsidRDefault="00770682"/>
      </w:docPartBody>
    </w:docPart>
    <w:docPart>
      <w:docPartPr>
        <w:name w:val="6262BD7BC50A4083B2A2C1CF972D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CCD5-F57D-4871-B9BB-BB53FF8A3BA3}"/>
      </w:docPartPr>
      <w:docPartBody>
        <w:p w:rsidR="00770682" w:rsidRDefault="007706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70682"/>
    <w:rsid w:val="007868A8"/>
    <w:rsid w:val="00B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0074-D923-4D69-AF6C-98E13B24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2021-02-05T19:09:00Z</dcterms:created>
  <dcterms:modified xsi:type="dcterms:W3CDTF">2021-02-05T19:09:00Z</dcterms:modified>
</cp:coreProperties>
</file>